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08B" w:rsidRPr="00553283" w:rsidRDefault="00B8408B" w:rsidP="00B8408B">
      <w:pPr>
        <w:autoSpaceDE w:val="0"/>
        <w:autoSpaceDN w:val="0"/>
        <w:adjustRightInd w:val="0"/>
      </w:pPr>
      <w:bookmarkStart w:id="0" w:name="_GoBack"/>
      <w:bookmarkEnd w:id="0"/>
      <w:r w:rsidRPr="00553283">
        <w:rPr>
          <w:highlight w:val="yellow"/>
        </w:rPr>
        <w:t>[Date]</w:t>
      </w:r>
    </w:p>
    <w:p w:rsidR="00B8408B" w:rsidRPr="00553283" w:rsidRDefault="00B8408B" w:rsidP="00B8408B">
      <w:pPr>
        <w:autoSpaceDE w:val="0"/>
        <w:autoSpaceDN w:val="0"/>
        <w:adjustRightInd w:val="0"/>
      </w:pPr>
    </w:p>
    <w:p w:rsidR="00B8408B" w:rsidRPr="00553283" w:rsidRDefault="00B8408B" w:rsidP="00B8408B">
      <w:pPr>
        <w:autoSpaceDE w:val="0"/>
        <w:autoSpaceDN w:val="0"/>
        <w:adjustRightInd w:val="0"/>
      </w:pPr>
      <w:r w:rsidRPr="00553283">
        <w:t xml:space="preserve">The </w:t>
      </w:r>
      <w:r w:rsidRPr="00B8408B">
        <w:t xml:space="preserve">Honorable Senator </w:t>
      </w:r>
      <w:r w:rsidRPr="00553283">
        <w:rPr>
          <w:highlight w:val="yellow"/>
        </w:rPr>
        <w:t>[Name]</w:t>
      </w:r>
    </w:p>
    <w:p w:rsidR="00B8408B" w:rsidRPr="00553283" w:rsidRDefault="00B8408B" w:rsidP="00B8408B">
      <w:pPr>
        <w:autoSpaceDE w:val="0"/>
        <w:autoSpaceDN w:val="0"/>
        <w:adjustRightInd w:val="0"/>
      </w:pPr>
      <w:r w:rsidRPr="00553283">
        <w:rPr>
          <w:highlight w:val="yellow"/>
        </w:rPr>
        <w:t>[Name]</w:t>
      </w:r>
      <w:r w:rsidRPr="00553283">
        <w:t xml:space="preserve"> Office Building, Room </w:t>
      </w:r>
      <w:r w:rsidRPr="00553283">
        <w:rPr>
          <w:highlight w:val="yellow"/>
        </w:rPr>
        <w:t>[Room Number]</w:t>
      </w:r>
    </w:p>
    <w:p w:rsidR="00B8408B" w:rsidRPr="00553283" w:rsidRDefault="00B8408B" w:rsidP="00B8408B">
      <w:pPr>
        <w:autoSpaceDE w:val="0"/>
        <w:autoSpaceDN w:val="0"/>
        <w:adjustRightInd w:val="0"/>
      </w:pPr>
      <w:r w:rsidRPr="00553283">
        <w:t xml:space="preserve">Washington, D.C. </w:t>
      </w:r>
      <w:r>
        <w:t>20510</w:t>
      </w:r>
    </w:p>
    <w:p w:rsidR="00B8408B" w:rsidRDefault="00B8408B" w:rsidP="00B21AE1">
      <w:pPr>
        <w:autoSpaceDE w:val="0"/>
        <w:autoSpaceDN w:val="0"/>
        <w:adjustRightInd w:val="0"/>
        <w:jc w:val="both"/>
      </w:pPr>
    </w:p>
    <w:p w:rsidR="00B8408B" w:rsidRDefault="00B8408B" w:rsidP="00B21AE1">
      <w:pPr>
        <w:autoSpaceDE w:val="0"/>
        <w:autoSpaceDN w:val="0"/>
        <w:adjustRightInd w:val="0"/>
        <w:jc w:val="both"/>
      </w:pPr>
    </w:p>
    <w:p w:rsidR="003307FD" w:rsidRPr="00B21AE1" w:rsidRDefault="003307FD" w:rsidP="00B21AE1">
      <w:pPr>
        <w:autoSpaceDE w:val="0"/>
        <w:autoSpaceDN w:val="0"/>
        <w:adjustRightInd w:val="0"/>
        <w:jc w:val="both"/>
      </w:pPr>
      <w:r w:rsidRPr="00B21AE1">
        <w:t xml:space="preserve">Dear </w:t>
      </w:r>
      <w:r w:rsidR="00B21AE1" w:rsidRPr="00B21AE1">
        <w:t xml:space="preserve">Senator </w:t>
      </w:r>
      <w:r w:rsidR="00A70009" w:rsidRPr="00B21AE1">
        <w:rPr>
          <w:highlight w:val="yellow"/>
        </w:rPr>
        <w:t>[Name]</w:t>
      </w:r>
      <w:r w:rsidRPr="00B21AE1">
        <w:rPr>
          <w:highlight w:val="yellow"/>
        </w:rPr>
        <w:t>,</w:t>
      </w:r>
      <w:r w:rsidRPr="00B21AE1">
        <w:t xml:space="preserve"> </w:t>
      </w:r>
    </w:p>
    <w:p w:rsidR="003307FD" w:rsidRPr="00B21AE1" w:rsidRDefault="003307FD" w:rsidP="00B21AE1">
      <w:pPr>
        <w:autoSpaceDE w:val="0"/>
        <w:autoSpaceDN w:val="0"/>
        <w:adjustRightInd w:val="0"/>
        <w:jc w:val="both"/>
      </w:pPr>
    </w:p>
    <w:p w:rsidR="00B21AE1" w:rsidRPr="00B21AE1" w:rsidRDefault="00A70009" w:rsidP="00B21AE1">
      <w:pPr>
        <w:pStyle w:val="NormalWeb"/>
        <w:spacing w:before="0" w:beforeAutospacing="0" w:after="0" w:afterAutospacing="0"/>
        <w:jc w:val="both"/>
        <w:rPr>
          <w:rFonts w:ascii="Times New Roman" w:hAnsi="Times New Roman"/>
          <w:sz w:val="24"/>
          <w:szCs w:val="24"/>
        </w:rPr>
      </w:pPr>
      <w:proofErr w:type="gramStart"/>
      <w:r w:rsidRPr="00B21AE1">
        <w:rPr>
          <w:rFonts w:ascii="Times New Roman" w:hAnsi="Times New Roman"/>
          <w:sz w:val="24"/>
          <w:szCs w:val="24"/>
        </w:rPr>
        <w:t xml:space="preserve">I </w:t>
      </w:r>
      <w:r w:rsidR="003307FD" w:rsidRPr="00B21AE1">
        <w:rPr>
          <w:rFonts w:ascii="Times New Roman" w:hAnsi="Times New Roman"/>
          <w:sz w:val="24"/>
          <w:szCs w:val="24"/>
        </w:rPr>
        <w:t xml:space="preserve">represent </w:t>
      </w:r>
      <w:r w:rsidRPr="00B21AE1">
        <w:rPr>
          <w:rFonts w:ascii="Times New Roman" w:hAnsi="Times New Roman"/>
          <w:sz w:val="24"/>
          <w:szCs w:val="24"/>
          <w:highlight w:val="yellow"/>
        </w:rPr>
        <w:t>[</w:t>
      </w:r>
      <w:r w:rsidR="008E4E00" w:rsidRPr="00B21AE1">
        <w:rPr>
          <w:rFonts w:ascii="Times New Roman" w:hAnsi="Times New Roman"/>
          <w:sz w:val="24"/>
          <w:szCs w:val="24"/>
          <w:highlight w:val="yellow"/>
        </w:rPr>
        <w:t>organization n</w:t>
      </w:r>
      <w:r w:rsidRPr="00B21AE1">
        <w:rPr>
          <w:rFonts w:ascii="Times New Roman" w:hAnsi="Times New Roman"/>
          <w:sz w:val="24"/>
          <w:szCs w:val="24"/>
          <w:highlight w:val="yellow"/>
        </w:rPr>
        <w:t>ame]</w:t>
      </w:r>
      <w:r w:rsidRPr="00B21AE1">
        <w:rPr>
          <w:rFonts w:ascii="Times New Roman" w:hAnsi="Times New Roman"/>
          <w:sz w:val="24"/>
          <w:szCs w:val="24"/>
        </w:rPr>
        <w:t xml:space="preserve">, a </w:t>
      </w:r>
      <w:r w:rsidRPr="00B21AE1">
        <w:rPr>
          <w:rFonts w:ascii="Times New Roman" w:hAnsi="Times New Roman"/>
          <w:sz w:val="24"/>
          <w:szCs w:val="24"/>
          <w:highlight w:val="yellow"/>
        </w:rPr>
        <w:t>[</w:t>
      </w:r>
      <w:r w:rsidR="008E4E00" w:rsidRPr="00B21AE1">
        <w:rPr>
          <w:rFonts w:ascii="Times New Roman" w:hAnsi="Times New Roman"/>
          <w:sz w:val="24"/>
          <w:szCs w:val="24"/>
          <w:highlight w:val="yellow"/>
        </w:rPr>
        <w:t>description of o</w:t>
      </w:r>
      <w:r w:rsidRPr="00B21AE1">
        <w:rPr>
          <w:rFonts w:ascii="Times New Roman" w:hAnsi="Times New Roman"/>
          <w:sz w:val="24"/>
          <w:szCs w:val="24"/>
          <w:highlight w:val="yellow"/>
        </w:rPr>
        <w:t>rganization]</w:t>
      </w:r>
      <w:r w:rsidRPr="00B21AE1">
        <w:rPr>
          <w:rFonts w:ascii="Times New Roman" w:hAnsi="Times New Roman"/>
          <w:sz w:val="24"/>
          <w:szCs w:val="24"/>
        </w:rPr>
        <w:t xml:space="preserve"> in </w:t>
      </w:r>
      <w:r w:rsidRPr="00B21AE1">
        <w:rPr>
          <w:rFonts w:ascii="Times New Roman" w:hAnsi="Times New Roman"/>
          <w:sz w:val="24"/>
          <w:szCs w:val="24"/>
          <w:highlight w:val="yellow"/>
        </w:rPr>
        <w:t>[</w:t>
      </w:r>
      <w:r w:rsidR="008E4E00" w:rsidRPr="00B21AE1">
        <w:rPr>
          <w:rFonts w:ascii="Times New Roman" w:hAnsi="Times New Roman"/>
          <w:sz w:val="24"/>
          <w:szCs w:val="24"/>
          <w:highlight w:val="yellow"/>
        </w:rPr>
        <w:t>s</w:t>
      </w:r>
      <w:r w:rsidRPr="00B21AE1">
        <w:rPr>
          <w:rFonts w:ascii="Times New Roman" w:hAnsi="Times New Roman"/>
          <w:sz w:val="24"/>
          <w:szCs w:val="24"/>
          <w:highlight w:val="yellow"/>
        </w:rPr>
        <w:t>tate]</w:t>
      </w:r>
      <w:r w:rsidRPr="00B21AE1">
        <w:rPr>
          <w:rFonts w:ascii="Times New Roman" w:hAnsi="Times New Roman"/>
          <w:sz w:val="24"/>
          <w:szCs w:val="24"/>
        </w:rPr>
        <w:t>.</w:t>
      </w:r>
      <w:proofErr w:type="gramEnd"/>
      <w:r w:rsidRPr="00B21AE1">
        <w:rPr>
          <w:rFonts w:ascii="Times New Roman" w:hAnsi="Times New Roman"/>
          <w:sz w:val="24"/>
          <w:szCs w:val="24"/>
        </w:rPr>
        <w:t xml:space="preserve"> </w:t>
      </w:r>
      <w:r w:rsidR="00553283" w:rsidRPr="00B21AE1">
        <w:rPr>
          <w:rFonts w:ascii="Times New Roman" w:hAnsi="Times New Roman"/>
          <w:sz w:val="24"/>
          <w:szCs w:val="24"/>
        </w:rPr>
        <w:t xml:space="preserve">As </w:t>
      </w:r>
      <w:r w:rsidR="00F84369">
        <w:rPr>
          <w:rFonts w:ascii="Times New Roman" w:hAnsi="Times New Roman"/>
          <w:sz w:val="24"/>
          <w:szCs w:val="24"/>
        </w:rPr>
        <w:t xml:space="preserve">the Senate </w:t>
      </w:r>
      <w:r w:rsidR="00553283" w:rsidRPr="00B21AE1">
        <w:rPr>
          <w:rFonts w:ascii="Times New Roman" w:hAnsi="Times New Roman"/>
          <w:sz w:val="24"/>
          <w:szCs w:val="24"/>
        </w:rPr>
        <w:t xml:space="preserve">considers comprehensive tax reform, I </w:t>
      </w:r>
      <w:r w:rsidR="00F84369">
        <w:rPr>
          <w:rFonts w:ascii="Times New Roman" w:hAnsi="Times New Roman"/>
          <w:sz w:val="24"/>
          <w:szCs w:val="24"/>
        </w:rPr>
        <w:t xml:space="preserve">ask that you urge </w:t>
      </w:r>
      <w:r w:rsidR="00F84369" w:rsidRPr="00B21AE1">
        <w:rPr>
          <w:rFonts w:ascii="Times New Roman" w:hAnsi="Times New Roman"/>
          <w:sz w:val="24"/>
          <w:szCs w:val="24"/>
        </w:rPr>
        <w:t>Senate Finance Committee Chairman Max Baucus and Rankin</w:t>
      </w:r>
      <w:r w:rsidR="00F84369">
        <w:rPr>
          <w:rFonts w:ascii="Times New Roman" w:hAnsi="Times New Roman"/>
          <w:sz w:val="24"/>
          <w:szCs w:val="24"/>
        </w:rPr>
        <w:t>g Member Orrin Hatch</w:t>
      </w:r>
      <w:r w:rsidR="00553283" w:rsidRPr="00B21AE1">
        <w:rPr>
          <w:rFonts w:ascii="Times New Roman" w:hAnsi="Times New Roman"/>
          <w:sz w:val="24"/>
          <w:szCs w:val="24"/>
        </w:rPr>
        <w:t xml:space="preserve"> to </w:t>
      </w:r>
      <w:r w:rsidR="00C65901" w:rsidRPr="00B21AE1">
        <w:rPr>
          <w:rFonts w:ascii="Times New Roman" w:hAnsi="Times New Roman"/>
          <w:sz w:val="24"/>
          <w:szCs w:val="24"/>
        </w:rPr>
        <w:t>protect and strengthen the Low-Income Housing Tax Credit (Housing Credit)</w:t>
      </w:r>
      <w:r w:rsidR="008E4E00" w:rsidRPr="00B21AE1">
        <w:rPr>
          <w:rFonts w:ascii="Times New Roman" w:hAnsi="Times New Roman"/>
          <w:sz w:val="24"/>
          <w:szCs w:val="24"/>
        </w:rPr>
        <w:t xml:space="preserve"> to ensure that [</w:t>
      </w:r>
      <w:r w:rsidR="008E4E00" w:rsidRPr="00B21AE1">
        <w:rPr>
          <w:rFonts w:ascii="Times New Roman" w:hAnsi="Times New Roman"/>
          <w:sz w:val="24"/>
          <w:szCs w:val="24"/>
          <w:highlight w:val="yellow"/>
        </w:rPr>
        <w:t>state</w:t>
      </w:r>
      <w:r w:rsidR="008E4E00" w:rsidRPr="00B21AE1">
        <w:rPr>
          <w:rFonts w:ascii="Times New Roman" w:hAnsi="Times New Roman"/>
          <w:sz w:val="24"/>
          <w:szCs w:val="24"/>
        </w:rPr>
        <w:t xml:space="preserve">] continues to benefit from </w:t>
      </w:r>
      <w:r w:rsidR="00950D92">
        <w:rPr>
          <w:rFonts w:ascii="Times New Roman" w:hAnsi="Times New Roman"/>
          <w:sz w:val="24"/>
          <w:szCs w:val="24"/>
        </w:rPr>
        <w:t>this critical affordable housing resource</w:t>
      </w:r>
      <w:r w:rsidR="008E4E00" w:rsidRPr="00B21AE1">
        <w:rPr>
          <w:rFonts w:ascii="Times New Roman" w:hAnsi="Times New Roman"/>
          <w:sz w:val="24"/>
          <w:szCs w:val="24"/>
        </w:rPr>
        <w:t xml:space="preserve"> for years to come</w:t>
      </w:r>
      <w:r w:rsidR="003307FD" w:rsidRPr="00B21AE1">
        <w:rPr>
          <w:rFonts w:ascii="Times New Roman" w:hAnsi="Times New Roman"/>
          <w:sz w:val="24"/>
          <w:szCs w:val="24"/>
        </w:rPr>
        <w:t>.</w:t>
      </w:r>
    </w:p>
    <w:p w:rsidR="00B21AE1" w:rsidRDefault="00F84369" w:rsidP="00107584">
      <w:pPr>
        <w:pStyle w:val="NormalWeb"/>
        <w:rPr>
          <w:rFonts w:ascii="Times New Roman" w:hAnsi="Times New Roman"/>
          <w:bCs/>
          <w:sz w:val="24"/>
          <w:szCs w:val="24"/>
        </w:rPr>
      </w:pPr>
      <w:r>
        <w:rPr>
          <w:rFonts w:ascii="Times New Roman" w:hAnsi="Times New Roman"/>
          <w:sz w:val="24"/>
          <w:szCs w:val="24"/>
        </w:rPr>
        <w:t>Senator Baucus and Hatch’s</w:t>
      </w:r>
      <w:r w:rsidR="00A7364B">
        <w:rPr>
          <w:rFonts w:ascii="Times New Roman" w:hAnsi="Times New Roman"/>
          <w:sz w:val="24"/>
          <w:szCs w:val="24"/>
        </w:rPr>
        <w:t xml:space="preserve"> June 27 “Dear Colleague”</w:t>
      </w:r>
      <w:r w:rsidR="00B21AE1" w:rsidRPr="00B21AE1">
        <w:rPr>
          <w:rFonts w:ascii="Times New Roman" w:hAnsi="Times New Roman"/>
          <w:sz w:val="24"/>
          <w:szCs w:val="24"/>
        </w:rPr>
        <w:t xml:space="preserve"> </w:t>
      </w:r>
      <w:r w:rsidR="000908F6">
        <w:rPr>
          <w:rFonts w:ascii="Times New Roman" w:hAnsi="Times New Roman"/>
          <w:sz w:val="24"/>
          <w:szCs w:val="24"/>
        </w:rPr>
        <w:t xml:space="preserve">letter </w:t>
      </w:r>
      <w:r>
        <w:rPr>
          <w:rFonts w:ascii="Times New Roman" w:hAnsi="Times New Roman"/>
          <w:sz w:val="24"/>
          <w:szCs w:val="24"/>
        </w:rPr>
        <w:t xml:space="preserve">outlined their </w:t>
      </w:r>
      <w:r w:rsidR="00A7364B">
        <w:rPr>
          <w:rFonts w:ascii="Times New Roman" w:hAnsi="Times New Roman"/>
          <w:sz w:val="24"/>
          <w:szCs w:val="24"/>
        </w:rPr>
        <w:t>“blank slate”</w:t>
      </w:r>
      <w:r w:rsidR="00B21AE1">
        <w:rPr>
          <w:rFonts w:ascii="Times New Roman" w:hAnsi="Times New Roman"/>
          <w:sz w:val="24"/>
          <w:szCs w:val="24"/>
        </w:rPr>
        <w:t xml:space="preserve"> approach to tax reform, </w:t>
      </w:r>
      <w:r>
        <w:rPr>
          <w:rFonts w:ascii="Times New Roman" w:hAnsi="Times New Roman"/>
          <w:sz w:val="24"/>
          <w:szCs w:val="24"/>
        </w:rPr>
        <w:t>in which</w:t>
      </w:r>
      <w:r w:rsidR="00B21AE1">
        <w:rPr>
          <w:rFonts w:ascii="Times New Roman" w:hAnsi="Times New Roman"/>
          <w:sz w:val="24"/>
          <w:szCs w:val="24"/>
        </w:rPr>
        <w:t xml:space="preserve"> they will initially eliminate all exclusions, deductions and credits, and will only add them back in if </w:t>
      </w:r>
      <w:r w:rsidR="00B21AE1" w:rsidRPr="00B21AE1">
        <w:rPr>
          <w:rFonts w:ascii="Times New Roman" w:hAnsi="Times New Roman"/>
          <w:sz w:val="24"/>
          <w:szCs w:val="24"/>
        </w:rPr>
        <w:t xml:space="preserve">they have sufficient support from </w:t>
      </w:r>
      <w:r w:rsidR="00B21AE1">
        <w:rPr>
          <w:rFonts w:ascii="Times New Roman" w:hAnsi="Times New Roman"/>
          <w:sz w:val="24"/>
          <w:szCs w:val="24"/>
        </w:rPr>
        <w:t>their colleagues in the Senate</w:t>
      </w:r>
      <w:r w:rsidR="00B21AE1" w:rsidRPr="00B21AE1">
        <w:rPr>
          <w:rFonts w:ascii="Times New Roman" w:hAnsi="Times New Roman"/>
          <w:sz w:val="24"/>
          <w:szCs w:val="24"/>
        </w:rPr>
        <w:t>.</w:t>
      </w:r>
      <w:r>
        <w:rPr>
          <w:rFonts w:ascii="Times New Roman" w:hAnsi="Times New Roman"/>
          <w:sz w:val="24"/>
          <w:szCs w:val="24"/>
        </w:rPr>
        <w:t xml:space="preserve"> </w:t>
      </w:r>
      <w:r w:rsidR="00B21AE1" w:rsidRPr="00B21AE1">
        <w:rPr>
          <w:rFonts w:ascii="Times New Roman" w:hAnsi="Times New Roman"/>
          <w:sz w:val="24"/>
          <w:szCs w:val="24"/>
        </w:rPr>
        <w:t xml:space="preserve">Only tax provisions that are proven to help grow the </w:t>
      </w:r>
      <w:proofErr w:type="gramStart"/>
      <w:r w:rsidR="00B21AE1" w:rsidRPr="00B21AE1">
        <w:rPr>
          <w:rFonts w:ascii="Times New Roman" w:hAnsi="Times New Roman"/>
          <w:sz w:val="24"/>
          <w:szCs w:val="24"/>
        </w:rPr>
        <w:t>economy,</w:t>
      </w:r>
      <w:proofErr w:type="gramEnd"/>
      <w:r w:rsidR="00B21AE1" w:rsidRPr="00B21AE1">
        <w:rPr>
          <w:rFonts w:ascii="Times New Roman" w:hAnsi="Times New Roman"/>
          <w:sz w:val="24"/>
          <w:szCs w:val="24"/>
        </w:rPr>
        <w:t xml:space="preserve"> make the tax code fairer or effectively promote other important policy objectives will be added back into the tax code, with special preference for those with bipartisan support. </w:t>
      </w:r>
      <w:r w:rsidR="008C0666">
        <w:rPr>
          <w:rFonts w:ascii="Times New Roman" w:hAnsi="Times New Roman"/>
          <w:sz w:val="24"/>
          <w:szCs w:val="24"/>
        </w:rPr>
        <w:t xml:space="preserve">Please </w:t>
      </w:r>
      <w:proofErr w:type="gramStart"/>
      <w:r w:rsidR="008C0666">
        <w:rPr>
          <w:rFonts w:ascii="Times New Roman" w:hAnsi="Times New Roman"/>
          <w:sz w:val="24"/>
          <w:szCs w:val="24"/>
        </w:rPr>
        <w:t>considering</w:t>
      </w:r>
      <w:proofErr w:type="gramEnd"/>
      <w:r w:rsidR="008C0666">
        <w:rPr>
          <w:rFonts w:ascii="Times New Roman" w:hAnsi="Times New Roman"/>
          <w:sz w:val="24"/>
          <w:szCs w:val="24"/>
        </w:rPr>
        <w:t xml:space="preserve"> using the information below, demonstrating that the Housing Credit meets all of these criteria, as you make your case for the Housing Credit to </w:t>
      </w:r>
      <w:r w:rsidR="00B21AE1" w:rsidRPr="00B21AE1">
        <w:rPr>
          <w:rFonts w:ascii="Times New Roman" w:hAnsi="Times New Roman"/>
          <w:bCs/>
          <w:sz w:val="24"/>
          <w:szCs w:val="24"/>
        </w:rPr>
        <w:t>Senators Baucus a</w:t>
      </w:r>
      <w:r w:rsidR="00B21AE1">
        <w:rPr>
          <w:rFonts w:ascii="Times New Roman" w:hAnsi="Times New Roman"/>
          <w:bCs/>
          <w:sz w:val="24"/>
          <w:szCs w:val="24"/>
        </w:rPr>
        <w:t xml:space="preserve">nd Hatch </w:t>
      </w:r>
      <w:r w:rsidR="00A7364B">
        <w:rPr>
          <w:rFonts w:ascii="Times New Roman" w:hAnsi="Times New Roman"/>
          <w:bCs/>
          <w:sz w:val="24"/>
          <w:szCs w:val="24"/>
        </w:rPr>
        <w:t xml:space="preserve">by </w:t>
      </w:r>
      <w:r w:rsidR="008C0666">
        <w:rPr>
          <w:rFonts w:ascii="Times New Roman" w:hAnsi="Times New Roman"/>
          <w:bCs/>
          <w:sz w:val="24"/>
          <w:szCs w:val="24"/>
        </w:rPr>
        <w:t xml:space="preserve">the deadline of </w:t>
      </w:r>
      <w:r w:rsidR="00A7364B">
        <w:rPr>
          <w:rFonts w:ascii="Times New Roman" w:hAnsi="Times New Roman"/>
          <w:bCs/>
          <w:sz w:val="24"/>
          <w:szCs w:val="24"/>
        </w:rPr>
        <w:t>July 26</w:t>
      </w:r>
      <w:r w:rsidR="008C0666">
        <w:rPr>
          <w:rFonts w:ascii="Times New Roman" w:hAnsi="Times New Roman"/>
          <w:bCs/>
          <w:sz w:val="24"/>
          <w:szCs w:val="24"/>
        </w:rPr>
        <w:t xml:space="preserve">. </w:t>
      </w:r>
    </w:p>
    <w:p w:rsidR="008C0666" w:rsidRDefault="008C0666" w:rsidP="008C0666">
      <w:pPr>
        <w:autoSpaceDE w:val="0"/>
        <w:autoSpaceDN w:val="0"/>
        <w:rPr>
          <w:b/>
          <w:bCs/>
        </w:rPr>
      </w:pPr>
      <w:r>
        <w:rPr>
          <w:b/>
          <w:bCs/>
        </w:rPr>
        <w:t>Helping to Grow the Economy</w:t>
      </w:r>
    </w:p>
    <w:p w:rsidR="008C0666" w:rsidRDefault="008C0666" w:rsidP="008C0666">
      <w:pPr>
        <w:autoSpaceDE w:val="0"/>
        <w:autoSpaceDN w:val="0"/>
      </w:pPr>
      <w:r>
        <w:t xml:space="preserve">Because of a growing shortage of affordable housing, today over a quarter of all renters pay more than half </w:t>
      </w:r>
      <w:r w:rsidR="000908F6">
        <w:t xml:space="preserve">of </w:t>
      </w:r>
      <w:r>
        <w:t>their income in rent.  Devoting so much family income to housing can be a destabilizing force for many households</w:t>
      </w:r>
      <w:r w:rsidR="000908F6">
        <w:t>,</w:t>
      </w:r>
      <w:r>
        <w:t xml:space="preserve"> leaving insufficient income available to meet basic needs for food, health care, education and transportation.  This contributes to residential instability, undermines educational achievement and impairs employment potential.</w:t>
      </w:r>
    </w:p>
    <w:p w:rsidR="008C0666" w:rsidRDefault="008C0666" w:rsidP="008C0666">
      <w:pPr>
        <w:autoSpaceDE w:val="0"/>
        <w:autoSpaceDN w:val="0"/>
      </w:pPr>
    </w:p>
    <w:p w:rsidR="008C0666" w:rsidRDefault="008C0666" w:rsidP="008C0666">
      <w:pPr>
        <w:autoSpaceDE w:val="0"/>
        <w:autoSpaceDN w:val="0"/>
        <w:rPr>
          <w:rStyle w:val="apple-style-span"/>
          <w:color w:val="000000"/>
          <w:shd w:val="clear" w:color="auto" w:fill="FFFFFF"/>
        </w:rPr>
      </w:pPr>
      <w:r>
        <w:t>The Housing Credit addresses this serious social problem by producing close to 100,000 affordable rental homes annually.  This stimulates about $15 billion in housing investment annually</w:t>
      </w:r>
      <w:r w:rsidR="000908F6">
        <w:t>,</w:t>
      </w:r>
      <w:r>
        <w:t xml:space="preserve"> which supports 95,000 jobs</w:t>
      </w:r>
      <w:r w:rsidR="000908F6">
        <w:t>,</w:t>
      </w:r>
      <w:r>
        <w:t xml:space="preserve"> primarily in the small business sector, and produces about $7 billion in local income.  </w:t>
      </w:r>
      <w:r>
        <w:rPr>
          <w:rStyle w:val="apple-style-span"/>
          <w:color w:val="000000"/>
          <w:shd w:val="clear" w:color="auto" w:fill="FFFFFF"/>
        </w:rPr>
        <w:t xml:space="preserve">Since its creation in the Tax Reform Act of 1986, the Housing Credit has leveraged more than $100 billion in private investment capital, providing critical financing for the development of more than 2.6 million affordable rental homes for low-income families.  Unlike other tax code incentives that alter investment decisions at the margin, </w:t>
      </w:r>
      <w:r w:rsidR="000908F6">
        <w:rPr>
          <w:rStyle w:val="apple-style-span"/>
          <w:color w:val="000000"/>
          <w:shd w:val="clear" w:color="auto" w:fill="FFFFFF"/>
        </w:rPr>
        <w:t xml:space="preserve">virtually </w:t>
      </w:r>
      <w:r>
        <w:rPr>
          <w:rStyle w:val="apple-style-span"/>
          <w:color w:val="000000"/>
          <w:shd w:val="clear" w:color="auto" w:fill="FFFFFF"/>
        </w:rPr>
        <w:t xml:space="preserve">no affordable housing production would occur without the Housing Credit, since it is fundamentally uneconomic to produce rent-limited housing without a subsidy.  </w:t>
      </w:r>
    </w:p>
    <w:p w:rsidR="008C0666" w:rsidRDefault="008C0666" w:rsidP="008C0666">
      <w:pPr>
        <w:autoSpaceDE w:val="0"/>
        <w:autoSpaceDN w:val="0"/>
        <w:rPr>
          <w:rStyle w:val="apple-style-span"/>
          <w:color w:val="000000"/>
          <w:shd w:val="clear" w:color="auto" w:fill="FFFFFF"/>
        </w:rPr>
      </w:pPr>
    </w:p>
    <w:p w:rsidR="008C0666" w:rsidRDefault="008C0666" w:rsidP="008C0666">
      <w:pPr>
        <w:tabs>
          <w:tab w:val="left" w:pos="360"/>
        </w:tabs>
        <w:jc w:val="both"/>
      </w:pPr>
      <w:r>
        <w:t>In [</w:t>
      </w:r>
      <w:r w:rsidRPr="003248AD">
        <w:rPr>
          <w:highlight w:val="yellow"/>
        </w:rPr>
        <w:t>state</w:t>
      </w:r>
      <w:r>
        <w:t>], the Housing Credit has f</w:t>
      </w:r>
      <w:r w:rsidRPr="00553283">
        <w:t>inance</w:t>
      </w:r>
      <w:r>
        <w:t>d</w:t>
      </w:r>
      <w:r w:rsidRPr="00553283">
        <w:t xml:space="preserve"> more than </w:t>
      </w:r>
      <w:r>
        <w:t>[</w:t>
      </w:r>
      <w:r w:rsidRPr="00553283">
        <w:rPr>
          <w:highlight w:val="yellow"/>
        </w:rPr>
        <w:t>#</w:t>
      </w:r>
      <w:proofErr w:type="gramStart"/>
      <w:r w:rsidRPr="00553283">
        <w:rPr>
          <w:highlight w:val="yellow"/>
        </w:rPr>
        <w:t>,#</w:t>
      </w:r>
      <w:proofErr w:type="gramEnd"/>
      <w:r w:rsidRPr="00553283">
        <w:rPr>
          <w:highlight w:val="yellow"/>
        </w:rPr>
        <w:t>##</w:t>
      </w:r>
      <w:r>
        <w:rPr>
          <w:highlight w:val="yellow"/>
        </w:rPr>
        <w:t>]</w:t>
      </w:r>
      <w:r w:rsidRPr="00553283">
        <w:rPr>
          <w:highlight w:val="yellow"/>
        </w:rPr>
        <w:t xml:space="preserve"> (view the </w:t>
      </w:r>
      <w:hyperlink r:id="rId8" w:history="1">
        <w:r w:rsidRPr="00553283">
          <w:rPr>
            <w:rStyle w:val="Hyperlink"/>
            <w:highlight w:val="yellow"/>
          </w:rPr>
          <w:t>ACTION State Fact Sheets</w:t>
        </w:r>
      </w:hyperlink>
      <w:r w:rsidRPr="00553283">
        <w:rPr>
          <w:highlight w:val="yellow"/>
        </w:rPr>
        <w:t xml:space="preserve"> for local information)</w:t>
      </w:r>
      <w:r>
        <w:t xml:space="preserve"> affordable rental homes and created </w:t>
      </w:r>
      <w:r w:rsidRPr="00553283">
        <w:t xml:space="preserve">approximately </w:t>
      </w:r>
      <w:r>
        <w:t>[</w:t>
      </w:r>
      <w:r w:rsidRPr="00553283">
        <w:rPr>
          <w:highlight w:val="yellow"/>
        </w:rPr>
        <w:t>#,###</w:t>
      </w:r>
      <w:r>
        <w:rPr>
          <w:highlight w:val="yellow"/>
        </w:rPr>
        <w:t>]</w:t>
      </w:r>
      <w:r w:rsidRPr="00553283">
        <w:rPr>
          <w:highlight w:val="yellow"/>
        </w:rPr>
        <w:t xml:space="preserve"> (see state fact sheet)</w:t>
      </w:r>
      <w:r w:rsidRPr="00553283">
        <w:t xml:space="preserve">  jobs. </w:t>
      </w:r>
    </w:p>
    <w:p w:rsidR="008C0666" w:rsidRDefault="008C0666" w:rsidP="008C0666">
      <w:pPr>
        <w:tabs>
          <w:tab w:val="left" w:pos="360"/>
        </w:tabs>
        <w:jc w:val="both"/>
      </w:pPr>
    </w:p>
    <w:p w:rsidR="008C0666" w:rsidRPr="00107584" w:rsidRDefault="008C0666" w:rsidP="008C0666">
      <w:pPr>
        <w:tabs>
          <w:tab w:val="left" w:pos="360"/>
        </w:tabs>
        <w:jc w:val="both"/>
      </w:pPr>
      <w:r w:rsidRPr="00107584">
        <w:rPr>
          <w:highlight w:val="yellow"/>
        </w:rPr>
        <w:t>[Insert any state/community-specific information on projects or need.]</w:t>
      </w:r>
    </w:p>
    <w:p w:rsidR="008C0666" w:rsidRDefault="008C0666" w:rsidP="008C0666">
      <w:pPr>
        <w:autoSpaceDE w:val="0"/>
        <w:autoSpaceDN w:val="0"/>
        <w:rPr>
          <w:rStyle w:val="apple-style-span"/>
          <w:color w:val="000000"/>
          <w:shd w:val="clear" w:color="auto" w:fill="FFFFFF"/>
        </w:rPr>
      </w:pPr>
    </w:p>
    <w:p w:rsidR="008C0666" w:rsidRDefault="008C0666" w:rsidP="008C0666">
      <w:pPr>
        <w:autoSpaceDE w:val="0"/>
        <w:autoSpaceDN w:val="0"/>
        <w:rPr>
          <w:rStyle w:val="apple-style-span"/>
          <w:color w:val="000000"/>
          <w:shd w:val="clear" w:color="auto" w:fill="FFFFFF"/>
        </w:rPr>
      </w:pPr>
    </w:p>
    <w:p w:rsidR="008C0666" w:rsidRDefault="008C0666" w:rsidP="008C0666">
      <w:pPr>
        <w:autoSpaceDE w:val="0"/>
        <w:autoSpaceDN w:val="0"/>
        <w:rPr>
          <w:rStyle w:val="apple-style-span"/>
          <w:b/>
          <w:bCs/>
          <w:color w:val="000000"/>
          <w:shd w:val="clear" w:color="auto" w:fill="FFFFFF"/>
        </w:rPr>
      </w:pPr>
      <w:r>
        <w:rPr>
          <w:b/>
          <w:bCs/>
        </w:rPr>
        <w:t>Making the Tax Code Fairer</w:t>
      </w:r>
    </w:p>
    <w:p w:rsidR="008C0666" w:rsidRDefault="008C0666" w:rsidP="008C0666">
      <w:pPr>
        <w:autoSpaceDE w:val="0"/>
        <w:autoSpaceDN w:val="0"/>
        <w:rPr>
          <w:rStyle w:val="apple-style-span"/>
          <w:color w:val="000000"/>
          <w:shd w:val="clear" w:color="auto" w:fill="FFFFFF"/>
        </w:rPr>
      </w:pPr>
      <w:r>
        <w:rPr>
          <w:rStyle w:val="apple-style-span"/>
          <w:color w:val="000000"/>
          <w:shd w:val="clear" w:color="auto" w:fill="FFFFFF"/>
        </w:rPr>
        <w:t xml:space="preserve">Today about 35 percent of all households live in rental housing, and their annual income is on average less than half the annual income of homeowners.  Yet three quarters of all federal expenditures on housing – tax expenditures and direct spending – go to support homeownership.  </w:t>
      </w:r>
    </w:p>
    <w:p w:rsidR="008C0666" w:rsidRDefault="008C0666" w:rsidP="008C0666">
      <w:pPr>
        <w:autoSpaceDE w:val="0"/>
        <w:autoSpaceDN w:val="0"/>
        <w:rPr>
          <w:rStyle w:val="apple-style-span"/>
          <w:color w:val="000000"/>
          <w:shd w:val="clear" w:color="auto" w:fill="FFFFFF"/>
        </w:rPr>
      </w:pPr>
    </w:p>
    <w:p w:rsidR="008C0666" w:rsidRDefault="008C0666" w:rsidP="008C0666">
      <w:pPr>
        <w:autoSpaceDE w:val="0"/>
        <w:autoSpaceDN w:val="0"/>
        <w:rPr>
          <w:rStyle w:val="apple-style-span"/>
          <w:color w:val="000000"/>
          <w:shd w:val="clear" w:color="auto" w:fill="FFFFFF"/>
        </w:rPr>
      </w:pPr>
      <w:r>
        <w:rPr>
          <w:rStyle w:val="apple-style-span"/>
          <w:color w:val="000000"/>
          <w:shd w:val="clear" w:color="auto" w:fill="FFFFFF"/>
        </w:rPr>
        <w:t xml:space="preserve">According to the June 2013 “State of the Nation’s Housing” report from the Harvard Joint Center on Housing Studies, the country faces a growing affordable rental housing crisis.  </w:t>
      </w:r>
      <w:r>
        <w:rPr>
          <w:color w:val="000000"/>
        </w:rPr>
        <w:t xml:space="preserve">In 2011, there were only 6.8 million affordable units for 12.1 million extremely low-income renters nationwide. This affordability gap is exacerbated by higher income households competing with low-income renters for affordable units, as well as by widespread structural inadequacy in affordable housing stock. As a result, there exist only 30 adequate, available, and affordable units for every 100 extremely low-income households in the United States. The gap between affordable units and low-income renters in need of housing continues to widen each year, and the Housing Credit is virtually the only significant source of capital to address this need.  </w:t>
      </w:r>
    </w:p>
    <w:p w:rsidR="008C0666" w:rsidRDefault="008C0666" w:rsidP="008C0666">
      <w:pPr>
        <w:autoSpaceDE w:val="0"/>
        <w:autoSpaceDN w:val="0"/>
        <w:rPr>
          <w:rStyle w:val="apple-style-span"/>
          <w:color w:val="000000"/>
          <w:shd w:val="clear" w:color="auto" w:fill="FFFFFF"/>
        </w:rPr>
      </w:pPr>
    </w:p>
    <w:p w:rsidR="008C0666" w:rsidRDefault="008C0666" w:rsidP="008C0666">
      <w:pPr>
        <w:autoSpaceDE w:val="0"/>
        <w:autoSpaceDN w:val="0"/>
        <w:rPr>
          <w:rStyle w:val="apple-style-span"/>
          <w:color w:val="000000"/>
          <w:shd w:val="clear" w:color="auto" w:fill="FFFFFF"/>
        </w:rPr>
      </w:pPr>
      <w:r>
        <w:rPr>
          <w:rStyle w:val="apple-style-span"/>
          <w:color w:val="000000"/>
          <w:shd w:val="clear" w:color="auto" w:fill="FFFFFF"/>
        </w:rPr>
        <w:t xml:space="preserve">The </w:t>
      </w:r>
      <w:r w:rsidR="000908F6">
        <w:rPr>
          <w:rStyle w:val="apple-style-span"/>
          <w:color w:val="000000"/>
          <w:shd w:val="clear" w:color="auto" w:fill="FFFFFF"/>
        </w:rPr>
        <w:t>Housing C</w:t>
      </w:r>
      <w:r w:rsidR="006B638C">
        <w:rPr>
          <w:rStyle w:val="apple-style-span"/>
          <w:color w:val="000000"/>
          <w:shd w:val="clear" w:color="auto" w:fill="FFFFFF"/>
        </w:rPr>
        <w:t>redit</w:t>
      </w:r>
      <w:r>
        <w:rPr>
          <w:rStyle w:val="apple-style-span"/>
          <w:color w:val="000000"/>
          <w:shd w:val="clear" w:color="auto" w:fill="FFFFFF"/>
        </w:rPr>
        <w:t xml:space="preserve"> is widely considered to be the most effective affordable rental production program in the history of the nation, yet it accounted for just 3.3 percent of all federal housing expenditures in FY 2012, or 4.3 percent of all federal housing tax expenditures. </w:t>
      </w:r>
      <w:r>
        <w:rPr>
          <w:color w:val="000000"/>
        </w:rPr>
        <w:t xml:space="preserve">Removing the </w:t>
      </w:r>
      <w:r w:rsidR="006B638C">
        <w:rPr>
          <w:color w:val="000000"/>
        </w:rPr>
        <w:t>Housing</w:t>
      </w:r>
      <w:r>
        <w:rPr>
          <w:color w:val="000000"/>
        </w:rPr>
        <w:t xml:space="preserve"> Credit from the tax code would harm low-income families in search of an affordable home and make the tax system less fair. </w:t>
      </w:r>
    </w:p>
    <w:p w:rsidR="008C0666" w:rsidRDefault="008C0666" w:rsidP="008C0666">
      <w:pPr>
        <w:autoSpaceDE w:val="0"/>
        <w:autoSpaceDN w:val="0"/>
      </w:pPr>
    </w:p>
    <w:p w:rsidR="008C0666" w:rsidRDefault="008C0666" w:rsidP="008C0666">
      <w:pPr>
        <w:autoSpaceDE w:val="0"/>
        <w:autoSpaceDN w:val="0"/>
        <w:rPr>
          <w:b/>
          <w:bCs/>
        </w:rPr>
      </w:pPr>
      <w:r>
        <w:rPr>
          <w:b/>
          <w:bCs/>
        </w:rPr>
        <w:t>Effectively Promoting Important Policy Objectives</w:t>
      </w:r>
    </w:p>
    <w:p w:rsidR="008C0666" w:rsidRDefault="006B638C" w:rsidP="008C0666">
      <w:pPr>
        <w:autoSpaceDE w:val="0"/>
        <w:autoSpaceDN w:val="0"/>
        <w:rPr>
          <w:rStyle w:val="apple-style-span"/>
          <w:color w:val="000000"/>
          <w:shd w:val="clear" w:color="auto" w:fill="FFFFFF"/>
        </w:rPr>
      </w:pPr>
      <w:r>
        <w:rPr>
          <w:rStyle w:val="apple-style-span"/>
          <w:color w:val="000000"/>
          <w:shd w:val="clear" w:color="auto" w:fill="FFFFFF"/>
        </w:rPr>
        <w:t xml:space="preserve">As a result of being administered through </w:t>
      </w:r>
      <w:r w:rsidR="008C0666">
        <w:rPr>
          <w:rStyle w:val="apple-style-span"/>
          <w:color w:val="000000"/>
          <w:shd w:val="clear" w:color="auto" w:fill="FFFFFF"/>
        </w:rPr>
        <w:t xml:space="preserve">the tax code, the </w:t>
      </w:r>
      <w:r>
        <w:rPr>
          <w:rStyle w:val="apple-style-span"/>
          <w:color w:val="000000"/>
          <w:shd w:val="clear" w:color="auto" w:fill="FFFFFF"/>
        </w:rPr>
        <w:t>Housing Credit</w:t>
      </w:r>
      <w:r w:rsidR="008C0666">
        <w:rPr>
          <w:rStyle w:val="apple-style-span"/>
          <w:color w:val="000000"/>
          <w:shd w:val="clear" w:color="auto" w:fill="FFFFFF"/>
        </w:rPr>
        <w:t xml:space="preserve"> b</w:t>
      </w:r>
      <w:r>
        <w:rPr>
          <w:rStyle w:val="apple-style-span"/>
          <w:color w:val="000000"/>
          <w:shd w:val="clear" w:color="auto" w:fill="FFFFFF"/>
        </w:rPr>
        <w:t xml:space="preserve">rings with it important private </w:t>
      </w:r>
      <w:r w:rsidR="008C0666">
        <w:rPr>
          <w:rStyle w:val="apple-style-span"/>
          <w:color w:val="000000"/>
          <w:shd w:val="clear" w:color="auto" w:fill="FFFFFF"/>
        </w:rPr>
        <w:t xml:space="preserve">sector market discipline that makes </w:t>
      </w:r>
      <w:r>
        <w:rPr>
          <w:rStyle w:val="apple-style-span"/>
          <w:color w:val="000000"/>
          <w:shd w:val="clear" w:color="auto" w:fill="FFFFFF"/>
        </w:rPr>
        <w:t>it</w:t>
      </w:r>
      <w:r w:rsidR="008C0666">
        <w:rPr>
          <w:rStyle w:val="apple-style-span"/>
          <w:color w:val="000000"/>
          <w:shd w:val="clear" w:color="auto" w:fill="FFFFFF"/>
        </w:rPr>
        <w:t xml:space="preserve"> an efficient means of creating new </w:t>
      </w:r>
      <w:r>
        <w:rPr>
          <w:rStyle w:val="apple-style-span"/>
          <w:color w:val="000000"/>
          <w:shd w:val="clear" w:color="auto" w:fill="FFFFFF"/>
        </w:rPr>
        <w:t xml:space="preserve">affordable housing. The private </w:t>
      </w:r>
      <w:r w:rsidR="008C0666">
        <w:rPr>
          <w:rStyle w:val="apple-style-span"/>
          <w:color w:val="000000"/>
          <w:shd w:val="clear" w:color="auto" w:fill="FFFFFF"/>
        </w:rPr>
        <w:t>sector manages property site se</w:t>
      </w:r>
      <w:r>
        <w:rPr>
          <w:rStyle w:val="apple-style-span"/>
          <w:color w:val="000000"/>
          <w:shd w:val="clear" w:color="auto" w:fill="FFFFFF"/>
        </w:rPr>
        <w:t>lection, financial underwriting</w:t>
      </w:r>
      <w:r w:rsidR="008C0666">
        <w:rPr>
          <w:rStyle w:val="apple-style-span"/>
          <w:color w:val="000000"/>
          <w:shd w:val="clear" w:color="auto" w:fill="FFFFFF"/>
        </w:rPr>
        <w:t xml:space="preserve"> and ongoing tax code compliance monitoring of the projects, </w:t>
      </w:r>
      <w:r>
        <w:rPr>
          <w:rStyle w:val="apple-style-span"/>
          <w:color w:val="000000"/>
          <w:shd w:val="clear" w:color="auto" w:fill="FFFFFF"/>
        </w:rPr>
        <w:t>and assumes</w:t>
      </w:r>
      <w:r w:rsidR="008C0666">
        <w:rPr>
          <w:rStyle w:val="apple-style-span"/>
          <w:color w:val="000000"/>
          <w:shd w:val="clear" w:color="auto" w:fill="FFFFFF"/>
        </w:rPr>
        <w:t xml:space="preserve"> all of the construction and lease-up risk associated with </w:t>
      </w:r>
      <w:r>
        <w:rPr>
          <w:rStyle w:val="apple-style-span"/>
          <w:color w:val="000000"/>
          <w:shd w:val="clear" w:color="auto" w:fill="FFFFFF"/>
        </w:rPr>
        <w:t>Housing Credit</w:t>
      </w:r>
      <w:r w:rsidR="008C0666">
        <w:rPr>
          <w:rStyle w:val="apple-style-span"/>
          <w:color w:val="000000"/>
          <w:shd w:val="clear" w:color="auto" w:fill="FFFFFF"/>
        </w:rPr>
        <w:t>-financed properties. The ability to claim tax credits and maintain the targeted rate of return on investment is determined by the project’s compliance with the income targeting and rent restrictions in the law. This “pay-for-performance” model has led to extremely effective management and oversight of the program and produced an extraordinary low level of foreclosure—a cumulative rate of only 0.62 percent between 1987 and 2011</w:t>
      </w:r>
      <w:r>
        <w:rPr>
          <w:rStyle w:val="apple-style-span"/>
          <w:color w:val="000000"/>
          <w:shd w:val="clear" w:color="auto" w:fill="FFFFFF"/>
        </w:rPr>
        <w:t>,</w:t>
      </w:r>
      <w:r w:rsidR="008C0666">
        <w:rPr>
          <w:rStyle w:val="apple-style-span"/>
          <w:color w:val="000000"/>
          <w:shd w:val="clear" w:color="auto" w:fill="FFFFFF"/>
        </w:rPr>
        <w:t xml:space="preserve"> according to an analysis by the </w:t>
      </w:r>
      <w:r>
        <w:rPr>
          <w:rStyle w:val="apple-style-span"/>
          <w:color w:val="000000"/>
          <w:shd w:val="clear" w:color="auto" w:fill="FFFFFF"/>
        </w:rPr>
        <w:t xml:space="preserve">accounting firm </w:t>
      </w:r>
      <w:proofErr w:type="spellStart"/>
      <w:r w:rsidR="008C0666">
        <w:rPr>
          <w:rStyle w:val="apple-style-span"/>
          <w:color w:val="000000"/>
          <w:shd w:val="clear" w:color="auto" w:fill="FFFFFF"/>
        </w:rPr>
        <w:t>Cohn</w:t>
      </w:r>
      <w:r w:rsidR="008C0666">
        <w:rPr>
          <w:shd w:val="clear" w:color="auto" w:fill="FFFFFF"/>
        </w:rPr>
        <w:t>Reznick</w:t>
      </w:r>
      <w:proofErr w:type="spellEnd"/>
      <w:r w:rsidR="008C0666">
        <w:rPr>
          <w:rStyle w:val="apple-style-span"/>
          <w:color w:val="000000"/>
          <w:shd w:val="clear" w:color="auto" w:fill="FFFFFF"/>
        </w:rPr>
        <w:t>.</w:t>
      </w:r>
    </w:p>
    <w:p w:rsidR="008C0666" w:rsidRDefault="008C0666" w:rsidP="008C0666">
      <w:pPr>
        <w:autoSpaceDE w:val="0"/>
        <w:autoSpaceDN w:val="0"/>
        <w:rPr>
          <w:rStyle w:val="apple-style-span"/>
          <w:color w:val="000000"/>
          <w:shd w:val="clear" w:color="auto" w:fill="FFFFFF"/>
        </w:rPr>
      </w:pPr>
    </w:p>
    <w:p w:rsidR="008C0666" w:rsidRDefault="008C0666" w:rsidP="008C0666">
      <w:pPr>
        <w:autoSpaceDE w:val="0"/>
        <w:autoSpaceDN w:val="0"/>
        <w:rPr>
          <w:rStyle w:val="apple-style-span"/>
          <w:b/>
          <w:bCs/>
          <w:color w:val="000000"/>
          <w:shd w:val="clear" w:color="auto" w:fill="FFFFFF"/>
        </w:rPr>
      </w:pPr>
      <w:r>
        <w:rPr>
          <w:rStyle w:val="apple-style-span"/>
          <w:b/>
          <w:bCs/>
          <w:color w:val="000000"/>
          <w:shd w:val="clear" w:color="auto" w:fill="FFFFFF"/>
        </w:rPr>
        <w:t>Other Provisions That Should be Added, Repealed or Reformed as Part of Tax Reform</w:t>
      </w:r>
    </w:p>
    <w:p w:rsidR="008C0666" w:rsidRDefault="008C0666" w:rsidP="008C0666">
      <w:r>
        <w:rPr>
          <w:rStyle w:val="apple-style-span"/>
          <w:color w:val="000000"/>
          <w:shd w:val="clear" w:color="auto" w:fill="FFFFFF"/>
        </w:rPr>
        <w:t xml:space="preserve">In addition to preserving the </w:t>
      </w:r>
      <w:r w:rsidR="006B638C">
        <w:rPr>
          <w:rStyle w:val="apple-style-span"/>
          <w:color w:val="000000"/>
          <w:shd w:val="clear" w:color="auto" w:fill="FFFFFF"/>
        </w:rPr>
        <w:t>Housing Credit</w:t>
      </w:r>
      <w:r>
        <w:rPr>
          <w:rStyle w:val="apple-style-span"/>
          <w:color w:val="000000"/>
          <w:shd w:val="clear" w:color="auto" w:fill="FFFFFF"/>
        </w:rPr>
        <w:t xml:space="preserve"> program as part of tax reform, changes should be made in the formula used to determine the tax credit rate as proposed by legislation introduced in the 112</w:t>
      </w:r>
      <w:r>
        <w:rPr>
          <w:rStyle w:val="apple-style-span"/>
          <w:color w:val="000000"/>
          <w:shd w:val="clear" w:color="auto" w:fill="FFFFFF"/>
          <w:vertAlign w:val="superscript"/>
        </w:rPr>
        <w:t>th</w:t>
      </w:r>
      <w:r>
        <w:rPr>
          <w:rStyle w:val="apple-style-span"/>
          <w:color w:val="000000"/>
          <w:shd w:val="clear" w:color="auto" w:fill="FFFFFF"/>
        </w:rPr>
        <w:t xml:space="preserve"> Congress, S. 1989.  This bipartisan legislation would replace a faulty formula that determines the amount of housing tax credits a property receives based on the interest rate paid by the federal government </w:t>
      </w:r>
      <w:r w:rsidR="006B638C">
        <w:rPr>
          <w:rStyle w:val="apple-style-span"/>
          <w:color w:val="000000"/>
          <w:shd w:val="clear" w:color="auto" w:fill="FFFFFF"/>
        </w:rPr>
        <w:t>with the</w:t>
      </w:r>
      <w:r>
        <w:rPr>
          <w:rStyle w:val="apple-style-span"/>
          <w:color w:val="000000"/>
          <w:shd w:val="clear" w:color="auto" w:fill="FFFFFF"/>
        </w:rPr>
        <w:t xml:space="preserve"> flat 9 percent and 4 percent credit rates that were in force when the program was first enacted.  </w:t>
      </w:r>
    </w:p>
    <w:p w:rsidR="006B638C" w:rsidRDefault="006B638C" w:rsidP="008C0666"/>
    <w:p w:rsidR="006B638C" w:rsidRDefault="006B638C" w:rsidP="008C0666">
      <w:r>
        <w:t>The minimum 9 percent rate has been extended on a bipartisan basis since the enactment of the Housing and Economic Recovery Act of 2008, and S. 1989 and its companion legislation in the House received bipartisan support in the 112</w:t>
      </w:r>
      <w:r w:rsidRPr="006B638C">
        <w:rPr>
          <w:vertAlign w:val="superscript"/>
        </w:rPr>
        <w:t>th</w:t>
      </w:r>
      <w:r>
        <w:t xml:space="preserve"> Congress, but the rate is set to expire at the end of </w:t>
      </w:r>
      <w:r>
        <w:lastRenderedPageBreak/>
        <w:t xml:space="preserve">2013. </w:t>
      </w:r>
      <w:r>
        <w:rPr>
          <w:rStyle w:val="apple-style-span"/>
          <w:color w:val="000000"/>
          <w:shd w:val="clear" w:color="auto" w:fill="FFFFFF"/>
        </w:rPr>
        <w:t xml:space="preserve">Under the “floating rate” formula, every movement in the federal cost of borrowing would change the amount of tax credits that go to support development of Housing Credit affordable housing.  This </w:t>
      </w:r>
      <w:r w:rsidR="000908F6">
        <w:rPr>
          <w:rStyle w:val="apple-style-span"/>
          <w:color w:val="000000"/>
          <w:shd w:val="clear" w:color="auto" w:fill="FFFFFF"/>
        </w:rPr>
        <w:t>reduces</w:t>
      </w:r>
      <w:r>
        <w:rPr>
          <w:rStyle w:val="apple-style-span"/>
          <w:color w:val="000000"/>
          <w:shd w:val="clear" w:color="auto" w:fill="FFFFFF"/>
        </w:rPr>
        <w:t xml:space="preserve"> the amount of equity that can go into any given project without actually reducing the cost of the program, creates uncertainty which is disruptive of the development process and is not actually supported by any public policy rationale.</w:t>
      </w:r>
    </w:p>
    <w:p w:rsidR="00107584" w:rsidRDefault="00107584" w:rsidP="00107584">
      <w:pPr>
        <w:pStyle w:val="Default"/>
        <w:jc w:val="both"/>
        <w:rPr>
          <w:spacing w:val="-2"/>
        </w:rPr>
      </w:pPr>
    </w:p>
    <w:p w:rsidR="00553283" w:rsidRPr="00107584" w:rsidRDefault="00D257E7" w:rsidP="00107584">
      <w:pPr>
        <w:tabs>
          <w:tab w:val="left" w:pos="360"/>
        </w:tabs>
        <w:jc w:val="both"/>
        <w:rPr>
          <w:color w:val="000000"/>
        </w:rPr>
      </w:pPr>
      <w:r w:rsidRPr="00107584">
        <w:rPr>
          <w:color w:val="000000"/>
        </w:rPr>
        <w:t>Please help</w:t>
      </w:r>
      <w:r w:rsidR="003307FD" w:rsidRPr="00107584">
        <w:rPr>
          <w:color w:val="000000"/>
        </w:rPr>
        <w:t xml:space="preserve"> ensure that the Housing Credit </w:t>
      </w:r>
      <w:r w:rsidR="00107584" w:rsidRPr="00107584">
        <w:rPr>
          <w:color w:val="000000"/>
        </w:rPr>
        <w:t xml:space="preserve">can remain </w:t>
      </w:r>
      <w:r w:rsidR="00950D92">
        <w:rPr>
          <w:color w:val="000000"/>
        </w:rPr>
        <w:t xml:space="preserve">a </w:t>
      </w:r>
      <w:r w:rsidR="003307FD" w:rsidRPr="00107584">
        <w:rPr>
          <w:color w:val="000000"/>
        </w:rPr>
        <w:t>shining example of how private dollars can work to address affordable housing needs through effective and efficient public-private partnership</w:t>
      </w:r>
      <w:r w:rsidR="007112FE">
        <w:rPr>
          <w:color w:val="000000"/>
        </w:rPr>
        <w:t xml:space="preserve">s by urging </w:t>
      </w:r>
      <w:r w:rsidR="00107584" w:rsidRPr="00107584">
        <w:t>Senators Baucus and Hatch</w:t>
      </w:r>
      <w:r w:rsidR="00553283" w:rsidRPr="00107584">
        <w:t xml:space="preserve"> to </w:t>
      </w:r>
      <w:r w:rsidR="007112FE">
        <w:t xml:space="preserve">protect and strengthen </w:t>
      </w:r>
      <w:r w:rsidR="00950D92">
        <w:t>the Housing Credit</w:t>
      </w:r>
      <w:r w:rsidR="007112FE">
        <w:t xml:space="preserve"> in their tax reform effort</w:t>
      </w:r>
      <w:r w:rsidR="003248AD" w:rsidRPr="00107584">
        <w:t>.</w:t>
      </w:r>
    </w:p>
    <w:p w:rsidR="003307FD" w:rsidRPr="00107584" w:rsidRDefault="003307FD" w:rsidP="00107584">
      <w:pPr>
        <w:autoSpaceDE w:val="0"/>
        <w:autoSpaceDN w:val="0"/>
        <w:adjustRightInd w:val="0"/>
        <w:jc w:val="both"/>
      </w:pPr>
    </w:p>
    <w:p w:rsidR="003307FD" w:rsidRPr="00107584" w:rsidRDefault="003307FD" w:rsidP="00107584">
      <w:pPr>
        <w:autoSpaceDE w:val="0"/>
        <w:autoSpaceDN w:val="0"/>
        <w:adjustRightInd w:val="0"/>
        <w:jc w:val="both"/>
      </w:pPr>
      <w:r w:rsidRPr="00107584">
        <w:t>Sincerely,</w:t>
      </w:r>
    </w:p>
    <w:p w:rsidR="003307FD" w:rsidRPr="00107584" w:rsidRDefault="003307FD" w:rsidP="00107584">
      <w:pPr>
        <w:autoSpaceDE w:val="0"/>
        <w:autoSpaceDN w:val="0"/>
        <w:adjustRightInd w:val="0"/>
        <w:jc w:val="both"/>
      </w:pPr>
    </w:p>
    <w:p w:rsidR="00C65901" w:rsidRPr="00107584" w:rsidRDefault="00DE4C71" w:rsidP="00107584">
      <w:pPr>
        <w:jc w:val="both"/>
        <w:rPr>
          <w:highlight w:val="yellow"/>
        </w:rPr>
      </w:pPr>
      <w:r w:rsidRPr="00107584">
        <w:rPr>
          <w:highlight w:val="yellow"/>
        </w:rPr>
        <w:t>[</w:t>
      </w:r>
      <w:r w:rsidR="00C65901" w:rsidRPr="00107584">
        <w:rPr>
          <w:highlight w:val="yellow"/>
        </w:rPr>
        <w:t>Name]</w:t>
      </w:r>
    </w:p>
    <w:p w:rsidR="00C65901" w:rsidRPr="00107584" w:rsidRDefault="00C65901" w:rsidP="00107584">
      <w:pPr>
        <w:jc w:val="both"/>
        <w:rPr>
          <w:highlight w:val="yellow"/>
        </w:rPr>
      </w:pPr>
      <w:r w:rsidRPr="00107584">
        <w:rPr>
          <w:highlight w:val="yellow"/>
        </w:rPr>
        <w:t>[Title]</w:t>
      </w:r>
    </w:p>
    <w:p w:rsidR="00931F40" w:rsidRPr="00107584" w:rsidRDefault="00C65901" w:rsidP="00107584">
      <w:pPr>
        <w:jc w:val="both"/>
      </w:pPr>
      <w:r w:rsidRPr="00107584">
        <w:rPr>
          <w:highlight w:val="yellow"/>
        </w:rPr>
        <w:t>[</w:t>
      </w:r>
      <w:r w:rsidR="00646D9D" w:rsidRPr="00107584">
        <w:rPr>
          <w:highlight w:val="yellow"/>
        </w:rPr>
        <w:t>Organization</w:t>
      </w:r>
      <w:r w:rsidR="00DE4C71" w:rsidRPr="00107584">
        <w:t>]</w:t>
      </w:r>
    </w:p>
    <w:p w:rsidR="00BB41A5" w:rsidRPr="00553283" w:rsidRDefault="00BB41A5" w:rsidP="00D257E7">
      <w:pPr>
        <w:jc w:val="both"/>
      </w:pPr>
      <w:r w:rsidRPr="007951A7">
        <w:rPr>
          <w:highlight w:val="yellow"/>
        </w:rPr>
        <w:t>[Address]</w:t>
      </w:r>
    </w:p>
    <w:sectPr w:rsidR="00BB41A5" w:rsidRPr="00553283" w:rsidSect="000E4D7C">
      <w:headerReference w:type="default" r:id="rId9"/>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666" w:rsidRDefault="008C0666" w:rsidP="003307FD">
      <w:r>
        <w:separator/>
      </w:r>
    </w:p>
  </w:endnote>
  <w:endnote w:type="continuationSeparator" w:id="0">
    <w:p w:rsidR="008C0666" w:rsidRDefault="008C0666" w:rsidP="00330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666" w:rsidRDefault="008C0666" w:rsidP="003307FD">
      <w:r>
        <w:separator/>
      </w:r>
    </w:p>
  </w:footnote>
  <w:footnote w:type="continuationSeparator" w:id="0">
    <w:p w:rsidR="008C0666" w:rsidRDefault="008C0666" w:rsidP="003307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666" w:rsidRDefault="008C0666" w:rsidP="003307FD">
    <w:pPr>
      <w:pStyle w:val="Header"/>
      <w:jc w:val="center"/>
    </w:pPr>
  </w:p>
  <w:p w:rsidR="008C0666" w:rsidRDefault="008C0666">
    <w:pPr>
      <w:pStyle w:val="Header"/>
    </w:pPr>
  </w:p>
  <w:p w:rsidR="008C0666" w:rsidRDefault="008C06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527DCE"/>
    <w:multiLevelType w:val="hybridMultilevel"/>
    <w:tmpl w:val="23C6AC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108"/>
    <w:rsid w:val="0000783D"/>
    <w:rsid w:val="00012ABB"/>
    <w:rsid w:val="00042F92"/>
    <w:rsid w:val="000908F6"/>
    <w:rsid w:val="000B39FD"/>
    <w:rsid w:val="000E4D7C"/>
    <w:rsid w:val="00107584"/>
    <w:rsid w:val="00131777"/>
    <w:rsid w:val="001F7259"/>
    <w:rsid w:val="00220C28"/>
    <w:rsid w:val="00266D49"/>
    <w:rsid w:val="002F443D"/>
    <w:rsid w:val="003248AD"/>
    <w:rsid w:val="00330201"/>
    <w:rsid w:val="003307FD"/>
    <w:rsid w:val="00346CDA"/>
    <w:rsid w:val="00352D94"/>
    <w:rsid w:val="003C084F"/>
    <w:rsid w:val="003C17D2"/>
    <w:rsid w:val="003D6CF5"/>
    <w:rsid w:val="0040543F"/>
    <w:rsid w:val="00553283"/>
    <w:rsid w:val="005B5AA5"/>
    <w:rsid w:val="00646D9D"/>
    <w:rsid w:val="006B638C"/>
    <w:rsid w:val="007112FE"/>
    <w:rsid w:val="00724CCE"/>
    <w:rsid w:val="007465EA"/>
    <w:rsid w:val="007951A7"/>
    <w:rsid w:val="007A05F0"/>
    <w:rsid w:val="007B72C9"/>
    <w:rsid w:val="007D300E"/>
    <w:rsid w:val="007D78D7"/>
    <w:rsid w:val="007E23DC"/>
    <w:rsid w:val="00801D4B"/>
    <w:rsid w:val="00886480"/>
    <w:rsid w:val="008A283D"/>
    <w:rsid w:val="008C0666"/>
    <w:rsid w:val="008D06A1"/>
    <w:rsid w:val="008E4E00"/>
    <w:rsid w:val="008F55E8"/>
    <w:rsid w:val="00931F40"/>
    <w:rsid w:val="00950D92"/>
    <w:rsid w:val="00996DA9"/>
    <w:rsid w:val="009A23DE"/>
    <w:rsid w:val="009C5558"/>
    <w:rsid w:val="009F2F51"/>
    <w:rsid w:val="009F4563"/>
    <w:rsid w:val="00A248CB"/>
    <w:rsid w:val="00A70009"/>
    <w:rsid w:val="00A7364B"/>
    <w:rsid w:val="00B05BCC"/>
    <w:rsid w:val="00B10630"/>
    <w:rsid w:val="00B11632"/>
    <w:rsid w:val="00B21AE1"/>
    <w:rsid w:val="00B43BC7"/>
    <w:rsid w:val="00B60A0D"/>
    <w:rsid w:val="00B8408B"/>
    <w:rsid w:val="00B95AD7"/>
    <w:rsid w:val="00BB1A9E"/>
    <w:rsid w:val="00BB41A5"/>
    <w:rsid w:val="00C60A4C"/>
    <w:rsid w:val="00C65901"/>
    <w:rsid w:val="00C969B9"/>
    <w:rsid w:val="00CD66E0"/>
    <w:rsid w:val="00D257E7"/>
    <w:rsid w:val="00D57108"/>
    <w:rsid w:val="00DE4C71"/>
    <w:rsid w:val="00E4008F"/>
    <w:rsid w:val="00E62588"/>
    <w:rsid w:val="00F06791"/>
    <w:rsid w:val="00F2367C"/>
    <w:rsid w:val="00F43CBE"/>
    <w:rsid w:val="00F75FDB"/>
    <w:rsid w:val="00F82035"/>
    <w:rsid w:val="00F84369"/>
    <w:rsid w:val="00F94E17"/>
    <w:rsid w:val="00FA64A6"/>
    <w:rsid w:val="00FB69CF"/>
    <w:rsid w:val="00FF4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108"/>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D57108"/>
    <w:pPr>
      <w:spacing w:before="100" w:beforeAutospacing="1" w:after="100" w:afterAutospacing="1"/>
    </w:pPr>
    <w:rPr>
      <w:rFonts w:ascii="Verdana" w:hAnsi="Verdana"/>
      <w:color w:val="000000"/>
      <w:sz w:val="27"/>
      <w:szCs w:val="27"/>
    </w:rPr>
  </w:style>
  <w:style w:type="paragraph" w:customStyle="1" w:styleId="Default">
    <w:name w:val="Default"/>
    <w:rsid w:val="00D57108"/>
    <w:pPr>
      <w:autoSpaceDE w:val="0"/>
      <w:autoSpaceDN w:val="0"/>
      <w:adjustRightInd w:val="0"/>
    </w:pPr>
    <w:rPr>
      <w:rFonts w:ascii="Times New Roman" w:hAnsi="Times New Roman"/>
      <w:color w:val="000000"/>
      <w:sz w:val="24"/>
      <w:szCs w:val="24"/>
    </w:rPr>
  </w:style>
  <w:style w:type="paragraph" w:styleId="BalloonText">
    <w:name w:val="Balloon Text"/>
    <w:basedOn w:val="Normal"/>
    <w:link w:val="BalloonTextChar"/>
    <w:uiPriority w:val="99"/>
    <w:semiHidden/>
    <w:unhideWhenUsed/>
    <w:rsid w:val="00D57108"/>
    <w:rPr>
      <w:rFonts w:ascii="Tahoma" w:hAnsi="Tahoma"/>
      <w:sz w:val="16"/>
      <w:szCs w:val="16"/>
    </w:rPr>
  </w:style>
  <w:style w:type="character" w:customStyle="1" w:styleId="BalloonTextChar">
    <w:name w:val="Balloon Text Char"/>
    <w:link w:val="BalloonText"/>
    <w:uiPriority w:val="99"/>
    <w:semiHidden/>
    <w:rsid w:val="00D57108"/>
    <w:rPr>
      <w:rFonts w:ascii="Tahoma" w:eastAsia="Times New Roman" w:hAnsi="Tahoma" w:cs="Tahoma"/>
      <w:sz w:val="16"/>
      <w:szCs w:val="16"/>
    </w:rPr>
  </w:style>
  <w:style w:type="paragraph" w:styleId="Header">
    <w:name w:val="header"/>
    <w:basedOn w:val="Normal"/>
    <w:link w:val="HeaderChar"/>
    <w:uiPriority w:val="99"/>
    <w:unhideWhenUsed/>
    <w:rsid w:val="00D57108"/>
    <w:pPr>
      <w:tabs>
        <w:tab w:val="center" w:pos="4680"/>
        <w:tab w:val="right" w:pos="9360"/>
      </w:tabs>
    </w:pPr>
  </w:style>
  <w:style w:type="character" w:customStyle="1" w:styleId="HeaderChar">
    <w:name w:val="Header Char"/>
    <w:link w:val="Header"/>
    <w:uiPriority w:val="99"/>
    <w:rsid w:val="00D57108"/>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D57108"/>
    <w:pPr>
      <w:tabs>
        <w:tab w:val="center" w:pos="4680"/>
        <w:tab w:val="right" w:pos="9360"/>
      </w:tabs>
    </w:pPr>
  </w:style>
  <w:style w:type="character" w:customStyle="1" w:styleId="FooterChar">
    <w:name w:val="Footer Char"/>
    <w:link w:val="Footer"/>
    <w:uiPriority w:val="99"/>
    <w:semiHidden/>
    <w:rsid w:val="00D57108"/>
    <w:rPr>
      <w:rFonts w:ascii="Times New Roman" w:eastAsia="Times New Roman" w:hAnsi="Times New Roman" w:cs="Times New Roman"/>
      <w:sz w:val="24"/>
      <w:szCs w:val="24"/>
    </w:rPr>
  </w:style>
  <w:style w:type="character" w:styleId="Hyperlink">
    <w:name w:val="Hyperlink"/>
    <w:uiPriority w:val="99"/>
    <w:unhideWhenUsed/>
    <w:rsid w:val="00F56DC5"/>
    <w:rPr>
      <w:color w:val="0000FF"/>
      <w:u w:val="single"/>
    </w:rPr>
  </w:style>
  <w:style w:type="character" w:styleId="CommentReference">
    <w:name w:val="annotation reference"/>
    <w:uiPriority w:val="99"/>
    <w:semiHidden/>
    <w:unhideWhenUsed/>
    <w:rsid w:val="005D6FCD"/>
    <w:rPr>
      <w:sz w:val="16"/>
      <w:szCs w:val="16"/>
    </w:rPr>
  </w:style>
  <w:style w:type="paragraph" w:styleId="CommentText">
    <w:name w:val="annotation text"/>
    <w:basedOn w:val="Normal"/>
    <w:link w:val="CommentTextChar"/>
    <w:uiPriority w:val="99"/>
    <w:semiHidden/>
    <w:unhideWhenUsed/>
    <w:rsid w:val="005D6FCD"/>
    <w:rPr>
      <w:sz w:val="20"/>
      <w:szCs w:val="20"/>
    </w:rPr>
  </w:style>
  <w:style w:type="character" w:customStyle="1" w:styleId="CommentTextChar">
    <w:name w:val="Comment Text Char"/>
    <w:link w:val="CommentText"/>
    <w:uiPriority w:val="99"/>
    <w:semiHidden/>
    <w:rsid w:val="005D6FCD"/>
    <w:rPr>
      <w:rFonts w:ascii="Times New Roman" w:hAnsi="Times New Roman"/>
    </w:rPr>
  </w:style>
  <w:style w:type="paragraph" w:styleId="CommentSubject">
    <w:name w:val="annotation subject"/>
    <w:basedOn w:val="CommentText"/>
    <w:next w:val="CommentText"/>
    <w:link w:val="CommentSubjectChar"/>
    <w:uiPriority w:val="99"/>
    <w:semiHidden/>
    <w:unhideWhenUsed/>
    <w:rsid w:val="005D6FCD"/>
    <w:rPr>
      <w:b/>
      <w:bCs/>
    </w:rPr>
  </w:style>
  <w:style w:type="character" w:customStyle="1" w:styleId="CommentSubjectChar">
    <w:name w:val="Comment Subject Char"/>
    <w:link w:val="CommentSubject"/>
    <w:uiPriority w:val="99"/>
    <w:semiHidden/>
    <w:rsid w:val="005D6FCD"/>
    <w:rPr>
      <w:rFonts w:ascii="Times New Roman" w:hAnsi="Times New Roman"/>
      <w:b/>
      <w:bCs/>
    </w:rPr>
  </w:style>
  <w:style w:type="character" w:styleId="FollowedHyperlink">
    <w:name w:val="FollowedHyperlink"/>
    <w:basedOn w:val="DefaultParagraphFont"/>
    <w:uiPriority w:val="99"/>
    <w:semiHidden/>
    <w:unhideWhenUsed/>
    <w:rsid w:val="00F06791"/>
    <w:rPr>
      <w:color w:val="800080"/>
      <w:u w:val="single"/>
    </w:rPr>
  </w:style>
  <w:style w:type="paragraph" w:styleId="ListParagraph">
    <w:name w:val="List Paragraph"/>
    <w:basedOn w:val="Normal"/>
    <w:uiPriority w:val="34"/>
    <w:qFormat/>
    <w:rsid w:val="00553283"/>
    <w:pPr>
      <w:ind w:left="720"/>
    </w:pPr>
  </w:style>
  <w:style w:type="character" w:customStyle="1" w:styleId="apple-converted-space">
    <w:name w:val="apple-converted-space"/>
    <w:basedOn w:val="DefaultParagraphFont"/>
    <w:rsid w:val="00266D49"/>
  </w:style>
  <w:style w:type="character" w:customStyle="1" w:styleId="apple-style-span">
    <w:name w:val="apple-style-span"/>
    <w:basedOn w:val="DefaultParagraphFont"/>
    <w:rsid w:val="007A05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108"/>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D57108"/>
    <w:pPr>
      <w:spacing w:before="100" w:beforeAutospacing="1" w:after="100" w:afterAutospacing="1"/>
    </w:pPr>
    <w:rPr>
      <w:rFonts w:ascii="Verdana" w:hAnsi="Verdana"/>
      <w:color w:val="000000"/>
      <w:sz w:val="27"/>
      <w:szCs w:val="27"/>
    </w:rPr>
  </w:style>
  <w:style w:type="paragraph" w:customStyle="1" w:styleId="Default">
    <w:name w:val="Default"/>
    <w:rsid w:val="00D57108"/>
    <w:pPr>
      <w:autoSpaceDE w:val="0"/>
      <w:autoSpaceDN w:val="0"/>
      <w:adjustRightInd w:val="0"/>
    </w:pPr>
    <w:rPr>
      <w:rFonts w:ascii="Times New Roman" w:hAnsi="Times New Roman"/>
      <w:color w:val="000000"/>
      <w:sz w:val="24"/>
      <w:szCs w:val="24"/>
    </w:rPr>
  </w:style>
  <w:style w:type="paragraph" w:styleId="BalloonText">
    <w:name w:val="Balloon Text"/>
    <w:basedOn w:val="Normal"/>
    <w:link w:val="BalloonTextChar"/>
    <w:uiPriority w:val="99"/>
    <w:semiHidden/>
    <w:unhideWhenUsed/>
    <w:rsid w:val="00D57108"/>
    <w:rPr>
      <w:rFonts w:ascii="Tahoma" w:hAnsi="Tahoma"/>
      <w:sz w:val="16"/>
      <w:szCs w:val="16"/>
    </w:rPr>
  </w:style>
  <w:style w:type="character" w:customStyle="1" w:styleId="BalloonTextChar">
    <w:name w:val="Balloon Text Char"/>
    <w:link w:val="BalloonText"/>
    <w:uiPriority w:val="99"/>
    <w:semiHidden/>
    <w:rsid w:val="00D57108"/>
    <w:rPr>
      <w:rFonts w:ascii="Tahoma" w:eastAsia="Times New Roman" w:hAnsi="Tahoma" w:cs="Tahoma"/>
      <w:sz w:val="16"/>
      <w:szCs w:val="16"/>
    </w:rPr>
  </w:style>
  <w:style w:type="paragraph" w:styleId="Header">
    <w:name w:val="header"/>
    <w:basedOn w:val="Normal"/>
    <w:link w:val="HeaderChar"/>
    <w:uiPriority w:val="99"/>
    <w:unhideWhenUsed/>
    <w:rsid w:val="00D57108"/>
    <w:pPr>
      <w:tabs>
        <w:tab w:val="center" w:pos="4680"/>
        <w:tab w:val="right" w:pos="9360"/>
      </w:tabs>
    </w:pPr>
  </w:style>
  <w:style w:type="character" w:customStyle="1" w:styleId="HeaderChar">
    <w:name w:val="Header Char"/>
    <w:link w:val="Header"/>
    <w:uiPriority w:val="99"/>
    <w:rsid w:val="00D57108"/>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D57108"/>
    <w:pPr>
      <w:tabs>
        <w:tab w:val="center" w:pos="4680"/>
        <w:tab w:val="right" w:pos="9360"/>
      </w:tabs>
    </w:pPr>
  </w:style>
  <w:style w:type="character" w:customStyle="1" w:styleId="FooterChar">
    <w:name w:val="Footer Char"/>
    <w:link w:val="Footer"/>
    <w:uiPriority w:val="99"/>
    <w:semiHidden/>
    <w:rsid w:val="00D57108"/>
    <w:rPr>
      <w:rFonts w:ascii="Times New Roman" w:eastAsia="Times New Roman" w:hAnsi="Times New Roman" w:cs="Times New Roman"/>
      <w:sz w:val="24"/>
      <w:szCs w:val="24"/>
    </w:rPr>
  </w:style>
  <w:style w:type="character" w:styleId="Hyperlink">
    <w:name w:val="Hyperlink"/>
    <w:uiPriority w:val="99"/>
    <w:unhideWhenUsed/>
    <w:rsid w:val="00F56DC5"/>
    <w:rPr>
      <w:color w:val="0000FF"/>
      <w:u w:val="single"/>
    </w:rPr>
  </w:style>
  <w:style w:type="character" w:styleId="CommentReference">
    <w:name w:val="annotation reference"/>
    <w:uiPriority w:val="99"/>
    <w:semiHidden/>
    <w:unhideWhenUsed/>
    <w:rsid w:val="005D6FCD"/>
    <w:rPr>
      <w:sz w:val="16"/>
      <w:szCs w:val="16"/>
    </w:rPr>
  </w:style>
  <w:style w:type="paragraph" w:styleId="CommentText">
    <w:name w:val="annotation text"/>
    <w:basedOn w:val="Normal"/>
    <w:link w:val="CommentTextChar"/>
    <w:uiPriority w:val="99"/>
    <w:semiHidden/>
    <w:unhideWhenUsed/>
    <w:rsid w:val="005D6FCD"/>
    <w:rPr>
      <w:sz w:val="20"/>
      <w:szCs w:val="20"/>
    </w:rPr>
  </w:style>
  <w:style w:type="character" w:customStyle="1" w:styleId="CommentTextChar">
    <w:name w:val="Comment Text Char"/>
    <w:link w:val="CommentText"/>
    <w:uiPriority w:val="99"/>
    <w:semiHidden/>
    <w:rsid w:val="005D6FCD"/>
    <w:rPr>
      <w:rFonts w:ascii="Times New Roman" w:hAnsi="Times New Roman"/>
    </w:rPr>
  </w:style>
  <w:style w:type="paragraph" w:styleId="CommentSubject">
    <w:name w:val="annotation subject"/>
    <w:basedOn w:val="CommentText"/>
    <w:next w:val="CommentText"/>
    <w:link w:val="CommentSubjectChar"/>
    <w:uiPriority w:val="99"/>
    <w:semiHidden/>
    <w:unhideWhenUsed/>
    <w:rsid w:val="005D6FCD"/>
    <w:rPr>
      <w:b/>
      <w:bCs/>
    </w:rPr>
  </w:style>
  <w:style w:type="character" w:customStyle="1" w:styleId="CommentSubjectChar">
    <w:name w:val="Comment Subject Char"/>
    <w:link w:val="CommentSubject"/>
    <w:uiPriority w:val="99"/>
    <w:semiHidden/>
    <w:rsid w:val="005D6FCD"/>
    <w:rPr>
      <w:rFonts w:ascii="Times New Roman" w:hAnsi="Times New Roman"/>
      <w:b/>
      <w:bCs/>
    </w:rPr>
  </w:style>
  <w:style w:type="character" w:styleId="FollowedHyperlink">
    <w:name w:val="FollowedHyperlink"/>
    <w:basedOn w:val="DefaultParagraphFont"/>
    <w:uiPriority w:val="99"/>
    <w:semiHidden/>
    <w:unhideWhenUsed/>
    <w:rsid w:val="00F06791"/>
    <w:rPr>
      <w:color w:val="800080"/>
      <w:u w:val="single"/>
    </w:rPr>
  </w:style>
  <w:style w:type="paragraph" w:styleId="ListParagraph">
    <w:name w:val="List Paragraph"/>
    <w:basedOn w:val="Normal"/>
    <w:uiPriority w:val="34"/>
    <w:qFormat/>
    <w:rsid w:val="00553283"/>
    <w:pPr>
      <w:ind w:left="720"/>
    </w:pPr>
  </w:style>
  <w:style w:type="character" w:customStyle="1" w:styleId="apple-converted-space">
    <w:name w:val="apple-converted-space"/>
    <w:basedOn w:val="DefaultParagraphFont"/>
    <w:rsid w:val="00266D49"/>
  </w:style>
  <w:style w:type="character" w:customStyle="1" w:styleId="apple-style-span">
    <w:name w:val="apple-style-span"/>
    <w:basedOn w:val="DefaultParagraphFont"/>
    <w:rsid w:val="007A0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3998398">
      <w:bodyDiv w:val="1"/>
      <w:marLeft w:val="0"/>
      <w:marRight w:val="0"/>
      <w:marTop w:val="0"/>
      <w:marBottom w:val="0"/>
      <w:divBdr>
        <w:top w:val="none" w:sz="0" w:space="0" w:color="auto"/>
        <w:left w:val="none" w:sz="0" w:space="0" w:color="auto"/>
        <w:bottom w:val="none" w:sz="0" w:space="0" w:color="auto"/>
        <w:right w:val="none" w:sz="0" w:space="0" w:color="auto"/>
      </w:divBdr>
    </w:div>
    <w:div w:id="1174996659">
      <w:bodyDiv w:val="1"/>
      <w:marLeft w:val="0"/>
      <w:marRight w:val="0"/>
      <w:marTop w:val="0"/>
      <w:marBottom w:val="0"/>
      <w:divBdr>
        <w:top w:val="none" w:sz="0" w:space="0" w:color="auto"/>
        <w:left w:val="none" w:sz="0" w:space="0" w:color="auto"/>
        <w:bottom w:val="none" w:sz="0" w:space="0" w:color="auto"/>
        <w:right w:val="none" w:sz="0" w:space="0" w:color="auto"/>
      </w:divBdr>
    </w:div>
    <w:div w:id="1307390956">
      <w:bodyDiv w:val="1"/>
      <w:marLeft w:val="0"/>
      <w:marRight w:val="0"/>
      <w:marTop w:val="0"/>
      <w:marBottom w:val="0"/>
      <w:divBdr>
        <w:top w:val="none" w:sz="0" w:space="0" w:color="auto"/>
        <w:left w:val="none" w:sz="0" w:space="0" w:color="auto"/>
        <w:bottom w:val="none" w:sz="0" w:space="0" w:color="auto"/>
        <w:right w:val="none" w:sz="0" w:space="0" w:color="auto"/>
      </w:divBdr>
    </w:div>
    <w:div w:id="1471823125">
      <w:bodyDiv w:val="1"/>
      <w:marLeft w:val="0"/>
      <w:marRight w:val="0"/>
      <w:marTop w:val="0"/>
      <w:marBottom w:val="0"/>
      <w:divBdr>
        <w:top w:val="none" w:sz="0" w:space="0" w:color="auto"/>
        <w:left w:val="none" w:sz="0" w:space="0" w:color="auto"/>
        <w:bottom w:val="none" w:sz="0" w:space="0" w:color="auto"/>
        <w:right w:val="none" w:sz="0" w:space="0" w:color="auto"/>
      </w:divBdr>
      <w:divsChild>
        <w:div w:id="472215671">
          <w:marLeft w:val="0"/>
          <w:marRight w:val="0"/>
          <w:marTop w:val="0"/>
          <w:marBottom w:val="0"/>
          <w:divBdr>
            <w:top w:val="none" w:sz="0" w:space="0" w:color="auto"/>
            <w:left w:val="none" w:sz="0" w:space="0" w:color="auto"/>
            <w:bottom w:val="none" w:sz="0" w:space="0" w:color="auto"/>
            <w:right w:val="none" w:sz="0" w:space="0" w:color="auto"/>
          </w:divBdr>
          <w:divsChild>
            <w:div w:id="1852065250">
              <w:marLeft w:val="0"/>
              <w:marRight w:val="0"/>
              <w:marTop w:val="0"/>
              <w:marBottom w:val="0"/>
              <w:divBdr>
                <w:top w:val="none" w:sz="0" w:space="0" w:color="auto"/>
                <w:left w:val="none" w:sz="0" w:space="0" w:color="auto"/>
                <w:bottom w:val="none" w:sz="0" w:space="0" w:color="auto"/>
                <w:right w:val="none" w:sz="0" w:space="0" w:color="auto"/>
              </w:divBdr>
            </w:div>
          </w:divsChild>
        </w:div>
        <w:div w:id="1830364181">
          <w:marLeft w:val="210"/>
          <w:marRight w:val="0"/>
          <w:marTop w:val="0"/>
          <w:marBottom w:val="0"/>
          <w:divBdr>
            <w:top w:val="none" w:sz="0" w:space="0" w:color="auto"/>
            <w:left w:val="none" w:sz="0" w:space="0" w:color="auto"/>
            <w:bottom w:val="none" w:sz="0" w:space="0" w:color="auto"/>
            <w:right w:val="none" w:sz="0" w:space="0" w:color="auto"/>
          </w:divBdr>
          <w:divsChild>
            <w:div w:id="75386529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27347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entalhousingaction.org/state-fact-sheet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1069</Words>
  <Characters>6098</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November 22, 2011</vt:lpstr>
    </vt:vector>
  </TitlesOfParts>
  <Company>Enterprise Community</Company>
  <LinksUpToDate>false</LinksUpToDate>
  <CharactersWithSpaces>7153</CharactersWithSpaces>
  <SharedDoc>false</SharedDoc>
  <HLinks>
    <vt:vector size="12" baseType="variant">
      <vt:variant>
        <vt:i4>7929900</vt:i4>
      </vt:variant>
      <vt:variant>
        <vt:i4>3</vt:i4>
      </vt:variant>
      <vt:variant>
        <vt:i4>0</vt:i4>
      </vt:variant>
      <vt:variant>
        <vt:i4>5</vt:i4>
      </vt:variant>
      <vt:variant>
        <vt:lpwstr>http://rentalhousingaction.org/state-fact-sheets/district-fact-sheets-1</vt:lpwstr>
      </vt:variant>
      <vt:variant>
        <vt:lpwstr/>
      </vt:variant>
      <vt:variant>
        <vt:i4>524373</vt:i4>
      </vt:variant>
      <vt:variant>
        <vt:i4>0</vt:i4>
      </vt:variant>
      <vt:variant>
        <vt:i4>0</vt:i4>
      </vt:variant>
      <vt:variant>
        <vt:i4>5</vt:i4>
      </vt:variant>
      <vt:variant>
        <vt:lpwstr>http://rentalhousingaction.org/state-fact-sheets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22, 2011</dc:title>
  <dc:creator>rreilly</dc:creator>
  <cp:lastModifiedBy>Brandon Gil</cp:lastModifiedBy>
  <cp:revision>2</cp:revision>
  <cp:lastPrinted>2011-10-25T19:29:00Z</cp:lastPrinted>
  <dcterms:created xsi:type="dcterms:W3CDTF">2013-07-08T17:01:00Z</dcterms:created>
  <dcterms:modified xsi:type="dcterms:W3CDTF">2013-07-08T17:01:00Z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85557458</vt:i4>
  </property>
  <property fmtid="{D5CDD505-2E9C-101B-9397-08002B2CF9AE}" pid="4" name="_EmailSubject">
    <vt:lpwstr>Need a couple links</vt:lpwstr>
  </property>
  <property fmtid="{D5CDD505-2E9C-101B-9397-08002B2CF9AE}" pid="5" name="_AuthorEmail">
    <vt:lpwstr>ecadik@enterprisecommunity.org</vt:lpwstr>
  </property>
  <property fmtid="{D5CDD505-2E9C-101B-9397-08002B2CF9AE}" pid="6" name="_AuthorEmailDisplayName">
    <vt:lpwstr>Cadik, Emily</vt:lpwstr>
  </property>
  <property fmtid="{D5CDD505-2E9C-101B-9397-08002B2CF9AE}" pid="7" name="_ReviewingToolsShownOnce">
    <vt:lpwstr/>
  </property>
</Properties>
</file>